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C4" w:rsidRPr="00782AC4" w:rsidRDefault="00782AC4" w:rsidP="00782AC4">
      <w:pPr>
        <w:shd w:val="clear" w:color="auto" w:fill="F0F4F5"/>
        <w:spacing w:after="360" w:line="240" w:lineRule="auto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782AC4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Flu vaccine for people with long-term health conditions</w:t>
      </w:r>
    </w:p>
    <w:p w:rsidR="00782AC4" w:rsidRPr="00782AC4" w:rsidRDefault="00782AC4" w:rsidP="00782AC4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The flu vaccine is offered free on the NHS to anyone with a serious long-term health condition, including:</w:t>
      </w:r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respiratory conditions, such as </w:t>
      </w:r>
      <w:hyperlink r:id="rId6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asthma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 (needing steroid inhaler or tablets), </w:t>
      </w:r>
      <w:hyperlink r:id="rId7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chronic obstructive pulmonary disease (COPD)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 including emphysema and </w:t>
      </w:r>
      <w:hyperlink r:id="rId8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bronchitis</w:t>
        </w:r>
      </w:hyperlink>
    </w:p>
    <w:p w:rsidR="00782AC4" w:rsidRPr="00782AC4" w:rsidRDefault="00C51E3E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9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diabetes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heart conditions, such as </w:t>
      </w:r>
      <w:hyperlink r:id="rId10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coronary heart disease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 or </w:t>
      </w:r>
      <w:hyperlink r:id="rId11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heart failure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being very overweight – </w:t>
      </w:r>
      <w:hyperlink r:id="rId12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a body mass index (BMI)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 of 40 or above</w:t>
      </w:r>
    </w:p>
    <w:p w:rsidR="00782AC4" w:rsidRPr="00782AC4" w:rsidRDefault="00C51E3E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13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chronic kidney disease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liver disease, such as </w:t>
      </w:r>
      <w:hyperlink r:id="rId14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hepatitis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neurological conditions, such as </w:t>
      </w:r>
      <w:hyperlink r:id="rId15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Parkinson's disease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 </w:t>
      </w:r>
      <w:hyperlink r:id="rId16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motor neurone disease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 </w:t>
      </w:r>
      <w:hyperlink r:id="rId17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multiple sclerosis (MS)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 or </w:t>
      </w:r>
      <w:hyperlink r:id="rId18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cerebral palsy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 </w:t>
      </w:r>
      <w:hyperlink r:id="rId19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learning disability</w:t>
        </w:r>
      </w:hyperlink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problems with your spleen, for example, </w:t>
      </w:r>
      <w:hyperlink r:id="rId20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sickle cell disease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 or if you have had your spleen removed</w:t>
      </w:r>
    </w:p>
    <w:p w:rsidR="00782AC4" w:rsidRPr="00782AC4" w:rsidRDefault="00782AC4" w:rsidP="00782AC4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 weakened immune system as the result of conditions such as </w:t>
      </w:r>
      <w:hyperlink r:id="rId21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HIV and AIDS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, or taking medicines such as </w:t>
      </w:r>
      <w:hyperlink r:id="rId22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steroid tablets</w:t>
        </w:r>
      </w:hyperlink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 or </w:t>
      </w:r>
      <w:hyperlink r:id="rId23" w:history="1">
        <w:r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chemotherapy</w:t>
        </w:r>
      </w:hyperlink>
    </w:p>
    <w:p w:rsidR="00782AC4" w:rsidRPr="00782AC4" w:rsidRDefault="00782AC4" w:rsidP="00782AC4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Talk to your doctor if you have a long-term condition that is not in one of these groups. They should offer you the flu vaccine if they think you're at risk of serious problems if you get flu.</w:t>
      </w:r>
    </w:p>
    <w:p w:rsidR="00782AC4" w:rsidRPr="00782AC4" w:rsidRDefault="00782AC4" w:rsidP="00782AC4">
      <w:pPr>
        <w:shd w:val="clear" w:color="auto" w:fill="F0F4F5"/>
        <w:spacing w:after="360" w:line="240" w:lineRule="auto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782AC4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Flu vaccine for people who are pregnant</w:t>
      </w:r>
    </w:p>
    <w:p w:rsidR="00782AC4" w:rsidRPr="00782AC4" w:rsidRDefault="00782AC4" w:rsidP="00782AC4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You should have the flu vaccine if you're pregnant to help protect you and your baby.</w:t>
      </w:r>
    </w:p>
    <w:p w:rsidR="00782AC4" w:rsidRPr="00782AC4" w:rsidRDefault="00782AC4" w:rsidP="00782AC4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782AC4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It's safe to have the flu vaccine at any stage of pregnancy.</w:t>
      </w:r>
    </w:p>
    <w:p w:rsidR="00782AC4" w:rsidRPr="00782AC4" w:rsidRDefault="00782AC4" w:rsidP="00782AC4">
      <w:pPr>
        <w:shd w:val="clear" w:color="auto" w:fill="F0F4F5"/>
        <w:spacing w:after="360" w:line="240" w:lineRule="auto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In</w:t>
      </w:r>
      <w:r w:rsidRPr="00782AC4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formation in other formats</w:t>
      </w:r>
    </w:p>
    <w:p w:rsidR="00782AC4" w:rsidRPr="00782AC4" w:rsidRDefault="00C51E3E" w:rsidP="00782AC4">
      <w:pPr>
        <w:numPr>
          <w:ilvl w:val="0"/>
          <w:numId w:val="2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24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GOV.UK: flu vaccination information in other languages</w:t>
        </w:r>
      </w:hyperlink>
    </w:p>
    <w:p w:rsidR="00782AC4" w:rsidRPr="00782AC4" w:rsidRDefault="00C51E3E" w:rsidP="00782AC4">
      <w:pPr>
        <w:numPr>
          <w:ilvl w:val="0"/>
          <w:numId w:val="2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25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GOV.UK: flu vaccination easy read guides</w:t>
        </w:r>
      </w:hyperlink>
    </w:p>
    <w:p w:rsidR="00782AC4" w:rsidRPr="00782AC4" w:rsidRDefault="00C51E3E" w:rsidP="00782AC4">
      <w:pPr>
        <w:numPr>
          <w:ilvl w:val="0"/>
          <w:numId w:val="2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26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NHS England: flu vaccination large print guide</w:t>
        </w:r>
      </w:hyperlink>
    </w:p>
    <w:p w:rsidR="00782AC4" w:rsidRPr="00782AC4" w:rsidRDefault="00C51E3E" w:rsidP="00782AC4">
      <w:pPr>
        <w:numPr>
          <w:ilvl w:val="0"/>
          <w:numId w:val="2"/>
        </w:numPr>
        <w:shd w:val="clear" w:color="auto" w:fill="F0F4F5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27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NHS England: flu vaccination audio guide</w:t>
        </w:r>
      </w:hyperlink>
    </w:p>
    <w:p w:rsidR="00782AC4" w:rsidRPr="00782AC4" w:rsidRDefault="00C51E3E" w:rsidP="00782AC4">
      <w:pPr>
        <w:numPr>
          <w:ilvl w:val="0"/>
          <w:numId w:val="2"/>
        </w:numPr>
        <w:shd w:val="clear" w:color="auto" w:fill="F0F4F5"/>
        <w:spacing w:before="100" w:beforeAutospacing="1" w:after="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hyperlink r:id="rId28" w:history="1">
        <w:r w:rsidR="00782AC4" w:rsidRPr="00782AC4">
          <w:rPr>
            <w:rFonts w:ascii="Arial" w:eastAsia="Times New Roman" w:hAnsi="Arial" w:cs="Arial"/>
            <w:color w:val="330072"/>
            <w:sz w:val="24"/>
            <w:szCs w:val="24"/>
            <w:u w:val="single"/>
            <w:lang w:eastAsia="en-GB"/>
          </w:rPr>
          <w:t>YouTube: flu vaccination British Sign Language (BSL) video</w:t>
        </w:r>
      </w:hyperlink>
    </w:p>
    <w:p w:rsidR="00CA285E" w:rsidRDefault="00CA285E"/>
    <w:p w:rsidR="00C51E3E" w:rsidRPr="00C51E3E" w:rsidRDefault="00C51E3E" w:rsidP="00C51E3E">
      <w:pPr>
        <w:shd w:val="clear" w:color="auto" w:fill="F0F4F5"/>
        <w:spacing w:after="360" w:line="240" w:lineRule="auto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C51E3E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lastRenderedPageBreak/>
        <w:t>Where to have the flu vaccine</w:t>
      </w: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4554"/>
      </w:tblGrid>
      <w:tr w:rsidR="00C51E3E" w:rsidRPr="00C51E3E" w:rsidTr="00C51E3E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vAlign w:val="center"/>
            <w:hideMark/>
          </w:tcPr>
          <w:p w:rsidR="00C51E3E" w:rsidRPr="00C51E3E" w:rsidRDefault="00C51E3E" w:rsidP="00C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table showing a child's age and where the flu vaccine is available on the NHS</w:t>
            </w:r>
          </w:p>
        </w:tc>
      </w:tr>
      <w:tr w:rsidR="00C51E3E" w:rsidRPr="00C51E3E" w:rsidTr="00C51E3E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Child's 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Where to have the flu vaccine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From 6 months until 2 years</w:t>
            </w: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(with long-term condition)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 surgery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From 2 years until child</w:t>
            </w: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starts primary school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 surgery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children at primary school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year 7 school children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aged 12 to 17 years</w:t>
            </w: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(with long-term condition)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 surgery</w:t>
            </w:r>
          </w:p>
        </w:tc>
      </w:tr>
      <w:tr w:rsidR="00C51E3E" w:rsidRPr="00C51E3E" w:rsidTr="00C51E3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Home-schooled children</w:t>
            </w: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(aged 4 to 11 years)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C51E3E" w:rsidRPr="00C51E3E" w:rsidRDefault="00C51E3E" w:rsidP="00C5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clinic</w:t>
            </w:r>
          </w:p>
        </w:tc>
      </w:tr>
    </w:tbl>
    <w:p w:rsidR="00C51E3E" w:rsidRPr="00C51E3E" w:rsidRDefault="00C51E3E" w:rsidP="00C51E3E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C51E3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Home-schooled children should be invited for vaccination by the local healthcare team. If you do not hear from them, ask your child's GP where they should go for vaccination.</w:t>
      </w:r>
    </w:p>
    <w:p w:rsidR="00C51E3E" w:rsidRPr="00C51E3E" w:rsidRDefault="00C51E3E" w:rsidP="00C51E3E">
      <w:pPr>
        <w:shd w:val="clear" w:color="auto" w:fill="F0F4F5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C51E3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If your school-aged child has a long-term health condition, you can ask the GP surgery to give the vaccine instead of having it at school.</w:t>
      </w:r>
    </w:p>
    <w:p w:rsidR="00C51E3E" w:rsidRPr="00C51E3E" w:rsidRDefault="00C51E3E" w:rsidP="00C51E3E">
      <w:pPr>
        <w:shd w:val="clear" w:color="auto" w:fill="FFEB3B"/>
        <w:spacing w:after="120" w:line="240" w:lineRule="auto"/>
        <w:ind w:left="-48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C51E3E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What if my child is unwell on the day?</w:t>
      </w:r>
    </w:p>
    <w:p w:rsidR="00C51E3E" w:rsidRPr="00C51E3E" w:rsidRDefault="00C51E3E" w:rsidP="00C51E3E">
      <w:pPr>
        <w:shd w:val="clear" w:color="auto" w:fill="FFF9C4"/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C51E3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Your child should wait until they're better before having the nasal spray flu vaccine if they have:</w:t>
      </w:r>
    </w:p>
    <w:p w:rsidR="00C51E3E" w:rsidRPr="00C51E3E" w:rsidRDefault="00C51E3E" w:rsidP="00C51E3E">
      <w:pPr>
        <w:numPr>
          <w:ilvl w:val="0"/>
          <w:numId w:val="3"/>
        </w:numPr>
        <w:shd w:val="clear" w:color="auto" w:fill="FFF9C4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C51E3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 very blocked or runny nose – these might stop the vaccine getting into their system</w:t>
      </w:r>
    </w:p>
    <w:p w:rsidR="00C51E3E" w:rsidRPr="00C51E3E" w:rsidRDefault="00C51E3E" w:rsidP="00C51E3E">
      <w:pPr>
        <w:numPr>
          <w:ilvl w:val="0"/>
          <w:numId w:val="3"/>
        </w:numPr>
        <w:shd w:val="clear" w:color="auto" w:fill="FFF9C4"/>
        <w:spacing w:before="100" w:beforeAutospacing="1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C51E3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 high temperature</w:t>
      </w:r>
    </w:p>
    <w:p w:rsidR="00C51E3E" w:rsidRDefault="00C51E3E">
      <w:bookmarkStart w:id="0" w:name="_GoBack"/>
      <w:bookmarkEnd w:id="0"/>
    </w:p>
    <w:sectPr w:rsidR="00C5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5B9"/>
    <w:multiLevelType w:val="multilevel"/>
    <w:tmpl w:val="507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C72DB8"/>
    <w:multiLevelType w:val="multilevel"/>
    <w:tmpl w:val="2FF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235254"/>
    <w:multiLevelType w:val="multilevel"/>
    <w:tmpl w:val="3DF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C4"/>
    <w:rsid w:val="00782AC4"/>
    <w:rsid w:val="00C51E3E"/>
    <w:rsid w:val="00C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9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bronchitis/" TargetMode="External"/><Relationship Id="rId13" Type="http://schemas.openxmlformats.org/officeDocument/2006/relationships/hyperlink" Target="https://www.nhs.uk/conditions/kidney-disease/" TargetMode="External"/><Relationship Id="rId18" Type="http://schemas.openxmlformats.org/officeDocument/2006/relationships/hyperlink" Target="https://www.nhs.uk/conditions/cerebral-palsy/" TargetMode="External"/><Relationship Id="rId26" Type="http://schemas.openxmlformats.org/officeDocument/2006/relationships/hyperlink" Target="https://www.healthpublications.gov.uk/ViewArticle.html?sp=Sfluvaccinationwhoshouldhaveitandwhybslvideoversion-13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hs.uk/conditions/hiv-and-aids/" TargetMode="External"/><Relationship Id="rId7" Type="http://schemas.openxmlformats.org/officeDocument/2006/relationships/hyperlink" Target="https://www.nhs.uk/conditions/chronic-obstructive-pulmonary-disease-copd/" TargetMode="External"/><Relationship Id="rId12" Type="http://schemas.openxmlformats.org/officeDocument/2006/relationships/hyperlink" Target="https://www.nhs.uk/live-well/healthy-weight/bmi-calculator/" TargetMode="External"/><Relationship Id="rId17" Type="http://schemas.openxmlformats.org/officeDocument/2006/relationships/hyperlink" Target="https://www.nhs.uk/conditions/multiple-sclerosis/" TargetMode="External"/><Relationship Id="rId25" Type="http://schemas.openxmlformats.org/officeDocument/2006/relationships/hyperlink" Target="https://www.gov.uk/government/publications/flu-leaflet-for-people-with-learning-disa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motor-neurone-disease/" TargetMode="External"/><Relationship Id="rId20" Type="http://schemas.openxmlformats.org/officeDocument/2006/relationships/hyperlink" Target="https://www.nhs.uk/conditions/sickle-cell-diseas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asthma/" TargetMode="External"/><Relationship Id="rId11" Type="http://schemas.openxmlformats.org/officeDocument/2006/relationships/hyperlink" Target="https://www.nhs.uk/conditions/heart-failure/" TargetMode="External"/><Relationship Id="rId24" Type="http://schemas.openxmlformats.org/officeDocument/2006/relationships/hyperlink" Target="https://www.gov.uk/government/publications/flu-vaccination-who-should-have-it-this-winter-and-w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parkinsons-disease/" TargetMode="External"/><Relationship Id="rId23" Type="http://schemas.openxmlformats.org/officeDocument/2006/relationships/hyperlink" Target="https://www.nhs.uk/conditions/chemotherapy/" TargetMode="External"/><Relationship Id="rId28" Type="http://schemas.openxmlformats.org/officeDocument/2006/relationships/hyperlink" Target="https://youtu.be/8MFGn3t_mPo" TargetMode="External"/><Relationship Id="rId10" Type="http://schemas.openxmlformats.org/officeDocument/2006/relationships/hyperlink" Target="https://www.nhs.uk/conditions/coronary-heart-disease/" TargetMode="External"/><Relationship Id="rId19" Type="http://schemas.openxmlformats.org/officeDocument/2006/relationships/hyperlink" Target="https://www.nhs.uk/conditions/learning-disab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diabetes/" TargetMode="External"/><Relationship Id="rId14" Type="http://schemas.openxmlformats.org/officeDocument/2006/relationships/hyperlink" Target="https://www.nhs.uk/conditions/hepatitis/" TargetMode="External"/><Relationship Id="rId22" Type="http://schemas.openxmlformats.org/officeDocument/2006/relationships/hyperlink" Target="https://www.nhs.uk/conditions/steroids/" TargetMode="External"/><Relationship Id="rId27" Type="http://schemas.openxmlformats.org/officeDocument/2006/relationships/hyperlink" Target="https://www.healthpublications.gov.uk/ViewArticle.html?sp=Sfluvaccinationwhoshouldhaveitandwhyaudiovideovers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Marion (St Georges Surgery)</dc:creator>
  <cp:lastModifiedBy>Costello, Marion (St Georges Surgery)</cp:lastModifiedBy>
  <cp:revision>2</cp:revision>
  <dcterms:created xsi:type="dcterms:W3CDTF">2020-11-06T09:46:00Z</dcterms:created>
  <dcterms:modified xsi:type="dcterms:W3CDTF">2020-11-06T10:00:00Z</dcterms:modified>
</cp:coreProperties>
</file>